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5ACCD" w14:textId="77777777" w:rsidR="00F818AA" w:rsidRPr="00F818AA" w:rsidRDefault="00F818AA" w:rsidP="00F818AA">
      <w:pPr>
        <w:rPr>
          <w:b/>
          <w:bCs/>
        </w:rPr>
      </w:pPr>
      <w:r w:rsidRPr="00F818AA">
        <w:rPr>
          <w:b/>
          <w:bCs/>
        </w:rPr>
        <w:t>Problem Statement: Retargeting Advertisement Consent Management (EMEA)</w:t>
      </w:r>
    </w:p>
    <w:p w14:paraId="36C304F2" w14:textId="77777777" w:rsidR="00F818AA" w:rsidRPr="00F818AA" w:rsidRDefault="00F818AA" w:rsidP="00F818AA">
      <w:r w:rsidRPr="00F818AA">
        <w:rPr>
          <w:b/>
          <w:bCs/>
        </w:rPr>
        <w:t>Background</w:t>
      </w:r>
      <w:r w:rsidRPr="00F818AA">
        <w:br/>
        <w:t xml:space="preserve">Within the EMEA region, </w:t>
      </w:r>
      <w:proofErr w:type="spellStart"/>
      <w:r w:rsidRPr="00F818AA">
        <w:t>Deckers’</w:t>
      </w:r>
      <w:proofErr w:type="spellEnd"/>
      <w:r w:rsidRPr="00F818AA">
        <w:t xml:space="preserve"> ability to activate first</w:t>
      </w:r>
      <w:r w:rsidRPr="00F818AA">
        <w:noBreakHyphen/>
        <w:t>party data for paid media retargeting remains constrained by current consent flows and platform integrations. As the DTC business continues strong growth ambitions, activation of high</w:t>
      </w:r>
      <w:r w:rsidRPr="00F818AA">
        <w:noBreakHyphen/>
        <w:t>quality consented audiences is an essential driver of efficient media spend, improved conversion, and competitive consumer engagement.</w:t>
      </w:r>
    </w:p>
    <w:p w14:paraId="72A194E6" w14:textId="77777777" w:rsidR="00F818AA" w:rsidRPr="00F818AA" w:rsidRDefault="00F818AA" w:rsidP="00F818AA">
      <w:r w:rsidRPr="00F818AA">
        <w:rPr>
          <w:b/>
          <w:bCs/>
        </w:rPr>
        <w:t>The Problem</w:t>
      </w:r>
      <w:r w:rsidRPr="00F818AA">
        <w:br/>
        <w:t>Deckers EMEA currently lacks the ability to use first</w:t>
      </w:r>
      <w:r w:rsidRPr="00F818AA">
        <w:noBreakHyphen/>
        <w:t>party data for retargeting without creating GDPR/PECR compliance risk, due to incomplete or non</w:t>
      </w:r>
      <w:r w:rsidRPr="00F818AA">
        <w:noBreakHyphen/>
        <w:t>explicit consent flows and a one</w:t>
      </w:r>
      <w:r w:rsidRPr="00F818AA">
        <w:noBreakHyphen/>
        <w:t>way data sync that prevents reliable audience hygiene. This prevents the activation of high</w:t>
      </w:r>
      <w:r w:rsidRPr="00F818AA">
        <w:noBreakHyphen/>
        <w:t>intent audiences across Meta, Google, and other platforms.</w:t>
      </w:r>
    </w:p>
    <w:p w14:paraId="3BDA255B" w14:textId="77777777" w:rsidR="00F818AA" w:rsidRPr="00F818AA" w:rsidRDefault="00F818AA" w:rsidP="00F818AA">
      <w:r w:rsidRPr="00F818AA">
        <w:t xml:space="preserve">As a result, the region is unable to unlock a significant level of incremental revenue from performance retargeting — representing an estimated </w:t>
      </w:r>
      <w:r w:rsidRPr="00F818AA">
        <w:rPr>
          <w:b/>
          <w:bCs/>
        </w:rPr>
        <w:t>~£5M missed opportunity</w:t>
      </w:r>
      <w:r w:rsidRPr="00F818AA">
        <w:t>.</w:t>
      </w:r>
    </w:p>
    <w:p w14:paraId="3AD7D9D1" w14:textId="77777777" w:rsidR="00F818AA" w:rsidRPr="00F818AA" w:rsidRDefault="00F818AA" w:rsidP="00F818AA">
      <w:r w:rsidRPr="00F818AA">
        <w:rPr>
          <w:b/>
          <w:bCs/>
        </w:rPr>
        <w:t>Why This Is a Problem</w:t>
      </w:r>
    </w:p>
    <w:p w14:paraId="05CC04E4" w14:textId="77777777" w:rsidR="00F818AA" w:rsidRPr="00F818AA" w:rsidRDefault="00F818AA" w:rsidP="00F818AA">
      <w:pPr>
        <w:numPr>
          <w:ilvl w:val="0"/>
          <w:numId w:val="1"/>
        </w:numPr>
      </w:pPr>
      <w:r w:rsidRPr="00F818AA">
        <w:rPr>
          <w:b/>
          <w:bCs/>
        </w:rPr>
        <w:t>Compliance barrier:</w:t>
      </w:r>
      <w:r w:rsidRPr="00F818AA">
        <w:t xml:space="preserve"> Consent captured through Osano does not explicitly cover off</w:t>
      </w:r>
      <w:r w:rsidRPr="00F818AA">
        <w:noBreakHyphen/>
        <w:t>site targeting, blocking activation of compliant audience</w:t>
      </w:r>
      <w:r w:rsidRPr="00F818AA">
        <w:noBreakHyphen/>
        <w:t>based retargeting.</w:t>
      </w:r>
    </w:p>
    <w:p w14:paraId="7EE449C2" w14:textId="77777777" w:rsidR="00F818AA" w:rsidRPr="00F818AA" w:rsidRDefault="00F818AA" w:rsidP="00F818AA">
      <w:pPr>
        <w:numPr>
          <w:ilvl w:val="0"/>
          <w:numId w:val="1"/>
        </w:numPr>
      </w:pPr>
      <w:r w:rsidRPr="00F818AA">
        <w:rPr>
          <w:b/>
          <w:bCs/>
        </w:rPr>
        <w:t>Operational inefficiency:</w:t>
      </w:r>
      <w:r w:rsidRPr="00F818AA">
        <w:t xml:space="preserve"> Current one</w:t>
      </w:r>
      <w:r w:rsidRPr="00F818AA">
        <w:noBreakHyphen/>
        <w:t>way audience sync demands manual suppression work, introduces errors, and delays go</w:t>
      </w:r>
      <w:r w:rsidRPr="00F818AA">
        <w:noBreakHyphen/>
        <w:t>to</w:t>
      </w:r>
      <w:r w:rsidRPr="00F818AA">
        <w:noBreakHyphen/>
        <w:t>market execution.</w:t>
      </w:r>
    </w:p>
    <w:p w14:paraId="16EE9AC1" w14:textId="77777777" w:rsidR="00F818AA" w:rsidRPr="00F818AA" w:rsidRDefault="00F818AA" w:rsidP="00F818AA">
      <w:pPr>
        <w:numPr>
          <w:ilvl w:val="0"/>
          <w:numId w:val="1"/>
        </w:numPr>
      </w:pPr>
      <w:r w:rsidRPr="00F818AA">
        <w:rPr>
          <w:b/>
          <w:bCs/>
        </w:rPr>
        <w:t>Revenue leakage:</w:t>
      </w:r>
      <w:r w:rsidRPr="00F818AA">
        <w:t xml:space="preserve"> Internal benchmark modelling shows that enabling compliant Customer Match</w:t>
      </w:r>
      <w:r w:rsidRPr="00F818AA">
        <w:noBreakHyphen/>
        <w:t xml:space="preserve">based targeting yields meaningful uplifts in CPC efficiency and conversion; applied to EMEA, this equates to </w:t>
      </w:r>
      <w:r w:rsidRPr="00F818AA">
        <w:rPr>
          <w:b/>
          <w:bCs/>
        </w:rPr>
        <w:t>£5M+ in unrealised revenue</w:t>
      </w:r>
      <w:r w:rsidRPr="00F818AA">
        <w:t>.</w:t>
      </w:r>
    </w:p>
    <w:p w14:paraId="5AB39A94" w14:textId="77777777" w:rsidR="00F818AA" w:rsidRPr="00F818AA" w:rsidRDefault="00F818AA" w:rsidP="00F818AA">
      <w:pPr>
        <w:numPr>
          <w:ilvl w:val="0"/>
          <w:numId w:val="1"/>
        </w:numPr>
      </w:pPr>
      <w:r w:rsidRPr="00F818AA">
        <w:rPr>
          <w:b/>
          <w:bCs/>
        </w:rPr>
        <w:t>Experience inconsistency:</w:t>
      </w:r>
      <w:r w:rsidRPr="00F818AA">
        <w:t xml:space="preserve"> Without accurate consent signals and audience hygiene, consumers may receive irrelevant or generic ads, impacting EMEA performance marketing efficiency and broader brand experience.</w:t>
      </w:r>
    </w:p>
    <w:p w14:paraId="373E1002" w14:textId="77777777" w:rsidR="00F818AA" w:rsidRPr="00F818AA" w:rsidRDefault="00F818AA" w:rsidP="00F818AA">
      <w:pPr>
        <w:numPr>
          <w:ilvl w:val="0"/>
          <w:numId w:val="1"/>
        </w:numPr>
      </w:pPr>
      <w:r w:rsidRPr="00F818AA">
        <w:rPr>
          <w:b/>
          <w:bCs/>
        </w:rPr>
        <w:t>Competitive disadvantage:</w:t>
      </w:r>
      <w:r w:rsidRPr="00F818AA">
        <w:t xml:space="preserve"> Market peers already leverage privacy</w:t>
      </w:r>
      <w:r w:rsidRPr="00F818AA">
        <w:noBreakHyphen/>
        <w:t>safe first</w:t>
      </w:r>
      <w:r w:rsidRPr="00F818AA">
        <w:noBreakHyphen/>
        <w:t>party data activation at scale, improving media efficiency and scaling revenue through targeted re</w:t>
      </w:r>
      <w:r w:rsidRPr="00F818AA">
        <w:noBreakHyphen/>
        <w:t>engagement.</w:t>
      </w:r>
    </w:p>
    <w:p w14:paraId="62F8FA4F" w14:textId="77777777" w:rsidR="00F818AA" w:rsidRPr="00F818AA" w:rsidRDefault="00F818AA" w:rsidP="00F818AA">
      <w:r w:rsidRPr="00F818AA">
        <w:rPr>
          <w:b/>
          <w:bCs/>
        </w:rPr>
        <w:t>Impact on the Business</w:t>
      </w:r>
    </w:p>
    <w:p w14:paraId="04A7A3E3" w14:textId="77777777" w:rsidR="00F818AA" w:rsidRPr="00F818AA" w:rsidRDefault="00F818AA" w:rsidP="00F818AA">
      <w:pPr>
        <w:numPr>
          <w:ilvl w:val="0"/>
          <w:numId w:val="2"/>
        </w:numPr>
      </w:pPr>
      <w:r w:rsidRPr="00F818AA">
        <w:rPr>
          <w:b/>
          <w:bCs/>
        </w:rPr>
        <w:t>~£5M revenue shortfall</w:t>
      </w:r>
      <w:r w:rsidRPr="00F818AA">
        <w:t xml:space="preserve"> due to inability to activate high</w:t>
      </w:r>
      <w:r w:rsidRPr="00F818AA">
        <w:noBreakHyphen/>
        <w:t>value audiences using compliant first</w:t>
      </w:r>
      <w:r w:rsidRPr="00F818AA">
        <w:noBreakHyphen/>
        <w:t>party data.</w:t>
      </w:r>
    </w:p>
    <w:p w14:paraId="2E46E042" w14:textId="77777777" w:rsidR="00F818AA" w:rsidRPr="00F818AA" w:rsidRDefault="00F818AA" w:rsidP="00F818AA">
      <w:pPr>
        <w:numPr>
          <w:ilvl w:val="0"/>
          <w:numId w:val="2"/>
        </w:numPr>
      </w:pPr>
      <w:r w:rsidRPr="00F818AA">
        <w:t>Inefficient spend allocation caused by reliance on broad prospecting rather than precision retargeting.</w:t>
      </w:r>
    </w:p>
    <w:p w14:paraId="7015FE91" w14:textId="77777777" w:rsidR="00F818AA" w:rsidRPr="00F818AA" w:rsidRDefault="00F818AA" w:rsidP="00F818AA">
      <w:pPr>
        <w:numPr>
          <w:ilvl w:val="0"/>
          <w:numId w:val="2"/>
        </w:numPr>
      </w:pPr>
      <w:r w:rsidRPr="00F818AA">
        <w:t>Increased operational overhead from manual data management processes.</w:t>
      </w:r>
    </w:p>
    <w:p w14:paraId="16D40288" w14:textId="77777777" w:rsidR="00F818AA" w:rsidRPr="00F818AA" w:rsidRDefault="00F818AA" w:rsidP="00F818AA">
      <w:pPr>
        <w:numPr>
          <w:ilvl w:val="0"/>
          <w:numId w:val="2"/>
        </w:numPr>
      </w:pPr>
      <w:r w:rsidRPr="00F818AA">
        <w:t>Reduced trust and transparency for consumers due to unclear consent communication flows.</w:t>
      </w:r>
    </w:p>
    <w:p w14:paraId="5E71C6A3" w14:textId="77777777" w:rsidR="00F818AA" w:rsidRPr="00F818AA" w:rsidRDefault="00F818AA" w:rsidP="00F818AA">
      <w:pPr>
        <w:numPr>
          <w:ilvl w:val="0"/>
          <w:numId w:val="2"/>
        </w:numPr>
      </w:pPr>
      <w:r w:rsidRPr="00F818AA">
        <w:t>Slower deployment of future audience</w:t>
      </w:r>
      <w:r w:rsidRPr="00F818AA">
        <w:noBreakHyphen/>
        <w:t>driven programmes, limiting EMEA’s ability to scale DTC efficiently.</w:t>
      </w:r>
    </w:p>
    <w:p w14:paraId="4DDE5400" w14:textId="77777777" w:rsidR="00F818AA" w:rsidRPr="00F818AA" w:rsidRDefault="00F818AA" w:rsidP="00F818AA">
      <w:r w:rsidRPr="00F818AA">
        <w:rPr>
          <w:b/>
          <w:bCs/>
        </w:rPr>
        <w:lastRenderedPageBreak/>
        <w:t>Success Measures</w:t>
      </w:r>
      <w:r w:rsidRPr="00F818AA">
        <w:br/>
        <w:t>A successful solution will:</w:t>
      </w:r>
    </w:p>
    <w:p w14:paraId="65495658" w14:textId="77777777" w:rsidR="00F818AA" w:rsidRPr="00F818AA" w:rsidRDefault="00F818AA" w:rsidP="00F818AA">
      <w:pPr>
        <w:numPr>
          <w:ilvl w:val="0"/>
          <w:numId w:val="3"/>
        </w:numPr>
      </w:pPr>
      <w:r w:rsidRPr="00F818AA">
        <w:t xml:space="preserve">Introduce </w:t>
      </w:r>
      <w:r w:rsidRPr="00F818AA">
        <w:rPr>
          <w:b/>
          <w:bCs/>
        </w:rPr>
        <w:t>explicit consent language</w:t>
      </w:r>
      <w:r w:rsidRPr="00F818AA">
        <w:t xml:space="preserve"> enabling compliant retargeting across EMEA.</w:t>
      </w:r>
    </w:p>
    <w:p w14:paraId="49825FB6" w14:textId="77777777" w:rsidR="00F818AA" w:rsidRPr="00F818AA" w:rsidRDefault="00F818AA" w:rsidP="00F818AA">
      <w:pPr>
        <w:numPr>
          <w:ilvl w:val="0"/>
          <w:numId w:val="3"/>
        </w:numPr>
      </w:pPr>
      <w:r w:rsidRPr="00F818AA">
        <w:t xml:space="preserve">Establish </w:t>
      </w:r>
      <w:r w:rsidRPr="00F818AA">
        <w:rPr>
          <w:b/>
          <w:bCs/>
        </w:rPr>
        <w:t>automated, real</w:t>
      </w:r>
      <w:r w:rsidRPr="00F818AA">
        <w:rPr>
          <w:b/>
          <w:bCs/>
        </w:rPr>
        <w:noBreakHyphen/>
        <w:t>time data flow</w:t>
      </w:r>
      <w:r w:rsidRPr="00F818AA">
        <w:t xml:space="preserve"> between Osano → Cordial → ad platforms.</w:t>
      </w:r>
    </w:p>
    <w:p w14:paraId="299E989E" w14:textId="77777777" w:rsidR="00F818AA" w:rsidRPr="00F818AA" w:rsidRDefault="00F818AA" w:rsidP="00F818AA">
      <w:pPr>
        <w:numPr>
          <w:ilvl w:val="0"/>
          <w:numId w:val="3"/>
        </w:numPr>
      </w:pPr>
      <w:r w:rsidRPr="00F818AA">
        <w:t xml:space="preserve">Reduce manual workload through improved </w:t>
      </w:r>
      <w:r w:rsidRPr="00F818AA">
        <w:rPr>
          <w:b/>
          <w:bCs/>
        </w:rPr>
        <w:t>audience hygiene automation</w:t>
      </w:r>
      <w:r w:rsidRPr="00F818AA">
        <w:t>.</w:t>
      </w:r>
    </w:p>
    <w:p w14:paraId="4451B486" w14:textId="77777777" w:rsidR="00F818AA" w:rsidRPr="00F818AA" w:rsidRDefault="00F818AA" w:rsidP="00F818AA">
      <w:pPr>
        <w:numPr>
          <w:ilvl w:val="0"/>
          <w:numId w:val="3"/>
        </w:numPr>
      </w:pPr>
      <w:r w:rsidRPr="00F818AA">
        <w:t xml:space="preserve">Enable activation of Customer Match audiences that drive measurable revenue uplift, closing the current </w:t>
      </w:r>
      <w:r w:rsidRPr="00F818AA">
        <w:rPr>
          <w:b/>
          <w:bCs/>
        </w:rPr>
        <w:t>~£5M gap</w:t>
      </w:r>
      <w:r w:rsidRPr="00F818AA">
        <w:t>.</w:t>
      </w:r>
    </w:p>
    <w:p w14:paraId="0D874B54" w14:textId="77777777" w:rsidR="00F818AA" w:rsidRPr="00F818AA" w:rsidRDefault="00F818AA" w:rsidP="00F818AA">
      <w:pPr>
        <w:numPr>
          <w:ilvl w:val="0"/>
          <w:numId w:val="3"/>
        </w:numPr>
      </w:pPr>
      <w:r w:rsidRPr="00F818AA">
        <w:t>Improve consumer trust through greater transparency in how data is used for personalised experiences.</w:t>
      </w:r>
    </w:p>
    <w:p w14:paraId="42F81C20" w14:textId="77777777" w:rsidR="006522AF" w:rsidRDefault="006522AF"/>
    <w:sectPr w:rsidR="006522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6F42E2"/>
    <w:multiLevelType w:val="multilevel"/>
    <w:tmpl w:val="50BC9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6655E0"/>
    <w:multiLevelType w:val="multilevel"/>
    <w:tmpl w:val="6310E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B0597B"/>
    <w:multiLevelType w:val="multilevel"/>
    <w:tmpl w:val="175A5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9685866">
    <w:abstractNumId w:val="2"/>
  </w:num>
  <w:num w:numId="2" w16cid:durableId="1250306648">
    <w:abstractNumId w:val="0"/>
  </w:num>
  <w:num w:numId="3" w16cid:durableId="10027018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8AA"/>
    <w:rsid w:val="00212B77"/>
    <w:rsid w:val="00296860"/>
    <w:rsid w:val="006522AF"/>
    <w:rsid w:val="00664167"/>
    <w:rsid w:val="00B37F24"/>
    <w:rsid w:val="00EC0C98"/>
    <w:rsid w:val="00EF3C9F"/>
    <w:rsid w:val="00F81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8EC29"/>
  <w15:chartTrackingRefBased/>
  <w15:docId w15:val="{DFBD3B8C-C61C-408E-9DBE-57FF907CE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18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18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18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18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18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18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18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18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18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18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18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18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18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18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18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18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18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18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18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18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18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18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18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18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18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18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18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18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18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375</Words>
  <Characters>2549</Characters>
  <Application>Microsoft Office Word</Application>
  <DocSecurity>0</DocSecurity>
  <Lines>47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Deckers Outdoor Corporation</Company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Willsher</dc:creator>
  <cp:keywords/>
  <dc:description/>
  <cp:lastModifiedBy>Nikki Willsher</cp:lastModifiedBy>
  <cp:revision>1</cp:revision>
  <dcterms:created xsi:type="dcterms:W3CDTF">2026-01-15T15:56:00Z</dcterms:created>
  <dcterms:modified xsi:type="dcterms:W3CDTF">2026-01-15T16:30:00Z</dcterms:modified>
</cp:coreProperties>
</file>