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0AE5" w14:textId="49F26E16" w:rsidR="00A86A0A" w:rsidRPr="00A86A0A" w:rsidRDefault="000F7115" w:rsidP="00B947AF">
      <w:pPr>
        <w:jc w:val="center"/>
        <w:rPr>
          <w:b/>
          <w:bCs/>
          <w:lang w:val="en-US"/>
        </w:rPr>
      </w:pPr>
      <w:bookmarkStart w:id="0" w:name="_Hlk210835826"/>
      <w:r w:rsidRPr="00B947AF">
        <w:rPr>
          <w:b/>
          <w:bCs/>
          <w:highlight w:val="lightGray"/>
          <w:lang w:val="en-US"/>
        </w:rPr>
        <w:t>MUTI CARRIER PARCEL SOLUTION</w:t>
      </w:r>
      <w:r w:rsidR="00423E62" w:rsidRPr="00B947AF">
        <w:rPr>
          <w:b/>
          <w:bCs/>
          <w:highlight w:val="lightGray"/>
          <w:lang w:val="en-US"/>
        </w:rPr>
        <w:t xml:space="preserve"> / TRANSPORTATION MANAGEMENT SYSTEM</w:t>
      </w:r>
    </w:p>
    <w:p w14:paraId="27D9714F" w14:textId="3448F6DB" w:rsidR="00B06194" w:rsidRDefault="0046703D" w:rsidP="00B06194">
      <w:pPr>
        <w:pStyle w:val="ListParagraph"/>
        <w:numPr>
          <w:ilvl w:val="0"/>
          <w:numId w:val="3"/>
        </w:numPr>
        <w:rPr>
          <w:lang w:val="en-US"/>
        </w:rPr>
      </w:pPr>
      <w:r w:rsidRPr="00B06194">
        <w:rPr>
          <w:b/>
          <w:bCs/>
          <w:lang w:val="en-US"/>
        </w:rPr>
        <w:t>Business / Use Case</w:t>
      </w:r>
    </w:p>
    <w:p w14:paraId="4A9B7711" w14:textId="65715EBF" w:rsidR="00B06194" w:rsidRPr="00B06194" w:rsidRDefault="00B06194" w:rsidP="00B06194">
      <w:pPr>
        <w:pStyle w:val="ListParagraph"/>
        <w:numPr>
          <w:ilvl w:val="0"/>
          <w:numId w:val="7"/>
        </w:numPr>
        <w:rPr>
          <w:lang w:val="en-US"/>
        </w:rPr>
      </w:pPr>
      <w:r w:rsidRPr="00B06194">
        <w:rPr>
          <w:lang w:val="en-US"/>
        </w:rPr>
        <w:t xml:space="preserve">The existing TMS is primarily utilized as a shipment execution and repository tool for </w:t>
      </w:r>
      <w:r w:rsidR="00332C11">
        <w:rPr>
          <w:lang w:val="en-US"/>
        </w:rPr>
        <w:t xml:space="preserve">NA </w:t>
      </w:r>
      <w:r w:rsidRPr="00B06194">
        <w:rPr>
          <w:lang w:val="en-US"/>
        </w:rPr>
        <w:t>Retail operations</w:t>
      </w:r>
    </w:p>
    <w:p w14:paraId="49339C5E" w14:textId="7640B488" w:rsidR="00B06194" w:rsidRPr="00B06194" w:rsidRDefault="00B06194" w:rsidP="00B06194">
      <w:pPr>
        <w:pStyle w:val="ListParagraph"/>
        <w:numPr>
          <w:ilvl w:val="0"/>
          <w:numId w:val="7"/>
        </w:numPr>
        <w:rPr>
          <w:lang w:val="en-US"/>
        </w:rPr>
      </w:pPr>
      <w:r w:rsidRPr="00B06194">
        <w:rPr>
          <w:lang w:val="en-US"/>
        </w:rPr>
        <w:t>The initial integration scope was limited to an EBS order file, resulting in minimal use of shipment optimization capabilities</w:t>
      </w:r>
    </w:p>
    <w:p w14:paraId="5C02B024" w14:textId="52F193B6" w:rsidR="00B06194" w:rsidRPr="00B06194" w:rsidRDefault="00B06194" w:rsidP="00B06194">
      <w:pPr>
        <w:pStyle w:val="ListParagraph"/>
        <w:numPr>
          <w:ilvl w:val="0"/>
          <w:numId w:val="7"/>
        </w:numPr>
        <w:rPr>
          <w:lang w:val="en-US"/>
        </w:rPr>
      </w:pPr>
      <w:r w:rsidRPr="00B06194">
        <w:rPr>
          <w:lang w:val="en-US"/>
        </w:rPr>
        <w:t>The current TMS support team lacks deep industry knowledge, leading to missed context during discussions and misaligned performance metrics</w:t>
      </w:r>
    </w:p>
    <w:p w14:paraId="6E2C47CA" w14:textId="4E796A7C" w:rsidR="00B06194" w:rsidRDefault="00B06194" w:rsidP="00B06194">
      <w:pPr>
        <w:pStyle w:val="ListParagraph"/>
        <w:numPr>
          <w:ilvl w:val="0"/>
          <w:numId w:val="7"/>
        </w:numPr>
        <w:rPr>
          <w:lang w:val="en-US"/>
        </w:rPr>
      </w:pPr>
      <w:r w:rsidRPr="00B06194">
        <w:rPr>
          <w:lang w:val="en-US"/>
        </w:rPr>
        <w:t xml:space="preserve">Data manipulation and reporting remain constrained due to full dependency on the </w:t>
      </w:r>
      <w:r w:rsidR="00946148">
        <w:rPr>
          <w:lang w:val="en-US"/>
        </w:rPr>
        <w:t>T</w:t>
      </w:r>
      <w:r w:rsidRPr="00B06194">
        <w:rPr>
          <w:lang w:val="en-US"/>
        </w:rPr>
        <w:t>MS team for dashboard edits and report adjustments</w:t>
      </w:r>
    </w:p>
    <w:p w14:paraId="3A70C986" w14:textId="7463A12B" w:rsidR="0046703D" w:rsidRDefault="00332C11" w:rsidP="00332C11">
      <w:pPr>
        <w:pStyle w:val="ListParagraph"/>
        <w:numPr>
          <w:ilvl w:val="0"/>
          <w:numId w:val="7"/>
        </w:numPr>
        <w:rPr>
          <w:lang w:val="en-US"/>
        </w:rPr>
      </w:pPr>
      <w:r w:rsidRPr="00332C11">
        <w:rPr>
          <w:lang w:val="en-US"/>
        </w:rPr>
        <w:t>There is an opportunity through this request to expand the scope of support beyond Retail and explore improvements in eCommerce rate shopping</w:t>
      </w:r>
      <w:r w:rsidR="00784D3A">
        <w:rPr>
          <w:lang w:val="en-US"/>
        </w:rPr>
        <w:t>,</w:t>
      </w:r>
      <w:r w:rsidRPr="00332C11">
        <w:rPr>
          <w:lang w:val="en-US"/>
        </w:rPr>
        <w:t xml:space="preserve"> parcel optimization</w:t>
      </w:r>
      <w:r w:rsidR="00784D3A">
        <w:rPr>
          <w:lang w:val="en-US"/>
        </w:rPr>
        <w:t xml:space="preserve"> (</w:t>
      </w:r>
      <w:r w:rsidRPr="00332C11">
        <w:rPr>
          <w:lang w:val="en-US"/>
        </w:rPr>
        <w:t xml:space="preserve">currently </w:t>
      </w:r>
      <w:proofErr w:type="gramStart"/>
      <w:r w:rsidR="00423E62">
        <w:rPr>
          <w:lang w:val="en-US"/>
        </w:rPr>
        <w:t>setup</w:t>
      </w:r>
      <w:proofErr w:type="gramEnd"/>
      <w:r w:rsidR="00423E62">
        <w:rPr>
          <w:lang w:val="en-US"/>
        </w:rPr>
        <w:t xml:space="preserve"> as</w:t>
      </w:r>
      <w:r w:rsidR="00165ED0">
        <w:rPr>
          <w:lang w:val="en-US"/>
        </w:rPr>
        <w:t xml:space="preserve"> </w:t>
      </w:r>
      <w:r w:rsidRPr="00332C11">
        <w:rPr>
          <w:lang w:val="en-US"/>
        </w:rPr>
        <w:t>manual processes</w:t>
      </w:r>
      <w:r w:rsidR="00423E62">
        <w:rPr>
          <w:lang w:val="en-US"/>
        </w:rPr>
        <w:t xml:space="preserve"> at the DC’s</w:t>
      </w:r>
      <w:r w:rsidR="00784D3A">
        <w:rPr>
          <w:lang w:val="en-US"/>
        </w:rPr>
        <w:t>), as well as optimiz</w:t>
      </w:r>
      <w:r w:rsidR="00165ED0">
        <w:rPr>
          <w:lang w:val="en-US"/>
        </w:rPr>
        <w:t>ing</w:t>
      </w:r>
      <w:r w:rsidR="00784D3A">
        <w:rPr>
          <w:lang w:val="en-US"/>
        </w:rPr>
        <w:t xml:space="preserve"> Routing processes</w:t>
      </w:r>
    </w:p>
    <w:bookmarkEnd w:id="0"/>
    <w:p w14:paraId="2CA8594D" w14:textId="77777777" w:rsidR="00332C11" w:rsidRPr="0046703D" w:rsidRDefault="00332C11" w:rsidP="00332C11">
      <w:pPr>
        <w:pStyle w:val="ListParagraph"/>
        <w:ind w:left="1440"/>
        <w:rPr>
          <w:lang w:val="en-US"/>
        </w:rPr>
      </w:pPr>
    </w:p>
    <w:p w14:paraId="13EFF971" w14:textId="30E25627" w:rsidR="0046703D" w:rsidRDefault="0046703D" w:rsidP="00332C11">
      <w:pPr>
        <w:pStyle w:val="ListParagraph"/>
        <w:numPr>
          <w:ilvl w:val="0"/>
          <w:numId w:val="3"/>
        </w:numPr>
        <w:rPr>
          <w:lang w:val="en-US"/>
        </w:rPr>
      </w:pPr>
      <w:r w:rsidRPr="00332C11">
        <w:rPr>
          <w:b/>
          <w:bCs/>
          <w:lang w:val="en-US"/>
        </w:rPr>
        <w:t>Objective</w:t>
      </w:r>
    </w:p>
    <w:p w14:paraId="59976F81" w14:textId="77671BD1" w:rsidR="00A86A0A" w:rsidRDefault="00A86A0A" w:rsidP="00A86A0A">
      <w:pPr>
        <w:pStyle w:val="ListParagraph"/>
        <w:numPr>
          <w:ilvl w:val="1"/>
          <w:numId w:val="3"/>
        </w:numPr>
        <w:rPr>
          <w:lang w:val="en-US"/>
        </w:rPr>
      </w:pPr>
      <w:r w:rsidRPr="00A86A0A">
        <w:rPr>
          <w:lang w:val="en-US"/>
        </w:rPr>
        <w:t>Enable shipment optimization and rate shopping capabilities across both Retail and eCommerce channels</w:t>
      </w:r>
      <w:r>
        <w:rPr>
          <w:lang w:val="en-US"/>
        </w:rPr>
        <w:t xml:space="preserve"> t</w:t>
      </w:r>
      <w:r w:rsidRPr="00A86A0A">
        <w:rPr>
          <w:lang w:val="en-US"/>
        </w:rPr>
        <w:t>o improve cost efficiency and delivery performance</w:t>
      </w:r>
    </w:p>
    <w:p w14:paraId="42A96E92" w14:textId="4CB47CAF" w:rsidR="00A86A0A" w:rsidRPr="00A86A0A" w:rsidRDefault="00A86A0A" w:rsidP="00A86A0A">
      <w:pPr>
        <w:pStyle w:val="ListParagraph"/>
        <w:numPr>
          <w:ilvl w:val="1"/>
          <w:numId w:val="3"/>
        </w:numPr>
        <w:rPr>
          <w:lang w:val="en-US"/>
        </w:rPr>
      </w:pPr>
      <w:r w:rsidRPr="00A86A0A">
        <w:rPr>
          <w:lang w:val="en-US"/>
        </w:rPr>
        <w:t>Enhance operational alignment by leveraging support resources with deeper industry and transportation expertise</w:t>
      </w:r>
      <w:r>
        <w:rPr>
          <w:lang w:val="en-US"/>
        </w:rPr>
        <w:t xml:space="preserve"> for better decision making</w:t>
      </w:r>
    </w:p>
    <w:p w14:paraId="056CFC9B" w14:textId="77777777" w:rsidR="00A86A0A" w:rsidRDefault="00A86A0A" w:rsidP="00A86A0A">
      <w:pPr>
        <w:pStyle w:val="ListParagraph"/>
        <w:numPr>
          <w:ilvl w:val="1"/>
          <w:numId w:val="3"/>
        </w:numPr>
        <w:rPr>
          <w:lang w:val="en-US"/>
        </w:rPr>
      </w:pPr>
      <w:r w:rsidRPr="00A86A0A">
        <w:rPr>
          <w:lang w:val="en-US"/>
        </w:rPr>
        <w:t>Reduce manual effort across DC Wave Planning, Logistics Coordinators, and Logistics Analysts by eliminating current “process shadowing” required to verify task completion</w:t>
      </w:r>
    </w:p>
    <w:p w14:paraId="62F96CB9" w14:textId="3C402F8D" w:rsidR="00A86A0A" w:rsidRDefault="00A86A0A" w:rsidP="00A86A0A">
      <w:pPr>
        <w:pStyle w:val="ListParagraph"/>
        <w:numPr>
          <w:ilvl w:val="1"/>
          <w:numId w:val="3"/>
        </w:numPr>
        <w:rPr>
          <w:lang w:val="en-US"/>
        </w:rPr>
      </w:pPr>
      <w:r w:rsidRPr="00A86A0A">
        <w:rPr>
          <w:lang w:val="en-US"/>
        </w:rPr>
        <w:t>Strengthen analytical self-service</w:t>
      </w:r>
      <w:r>
        <w:rPr>
          <w:lang w:val="en-US"/>
        </w:rPr>
        <w:t xml:space="preserve"> with improved visibility</w:t>
      </w:r>
      <w:r w:rsidRPr="00A86A0A">
        <w:rPr>
          <w:lang w:val="en-US"/>
        </w:rPr>
        <w:t xml:space="preserve"> by empowering business users to access and </w:t>
      </w:r>
      <w:r>
        <w:rPr>
          <w:lang w:val="en-US"/>
        </w:rPr>
        <w:t>m</w:t>
      </w:r>
      <w:r w:rsidRPr="00A86A0A">
        <w:rPr>
          <w:lang w:val="en-US"/>
        </w:rPr>
        <w:t>anipulate reporting without dependency on the TMS support team</w:t>
      </w:r>
    </w:p>
    <w:p w14:paraId="6072DABE" w14:textId="77777777" w:rsidR="00A86A0A" w:rsidRPr="00332C11" w:rsidRDefault="00A86A0A" w:rsidP="00810919">
      <w:pPr>
        <w:pStyle w:val="ListParagraph"/>
        <w:ind w:left="1440"/>
        <w:rPr>
          <w:lang w:val="en-US"/>
        </w:rPr>
      </w:pPr>
    </w:p>
    <w:p w14:paraId="28F71782" w14:textId="3FBBAE17" w:rsidR="0046703D" w:rsidRPr="00222B5F" w:rsidRDefault="0046703D" w:rsidP="00222B5F">
      <w:pPr>
        <w:numPr>
          <w:ilvl w:val="0"/>
          <w:numId w:val="3"/>
        </w:numPr>
        <w:rPr>
          <w:lang w:val="en-US"/>
        </w:rPr>
      </w:pPr>
      <w:r w:rsidRPr="0046703D">
        <w:rPr>
          <w:b/>
          <w:bCs/>
          <w:lang w:val="en-US"/>
        </w:rPr>
        <w:t>OKRs (Objectives and Key Results)</w:t>
      </w:r>
    </w:p>
    <w:p w14:paraId="54CDAA54" w14:textId="5899D5C7" w:rsidR="00222B5F" w:rsidRPr="000F7115" w:rsidRDefault="00222B5F" w:rsidP="00222B5F">
      <w:pPr>
        <w:pStyle w:val="ListParagraph"/>
        <w:numPr>
          <w:ilvl w:val="1"/>
          <w:numId w:val="3"/>
        </w:numPr>
        <w:rPr>
          <w:color w:val="000000" w:themeColor="text1"/>
          <w:lang w:val="en-US"/>
        </w:rPr>
      </w:pPr>
      <w:r w:rsidRPr="000F7115">
        <w:rPr>
          <w:color w:val="000000" w:themeColor="text1"/>
          <w:lang w:val="en-US"/>
        </w:rPr>
        <w:t xml:space="preserve">Achieve reduction in transportation </w:t>
      </w:r>
      <w:proofErr w:type="gramStart"/>
      <w:r w:rsidRPr="000F7115">
        <w:rPr>
          <w:color w:val="000000" w:themeColor="text1"/>
          <w:lang w:val="en-US"/>
        </w:rPr>
        <w:t>spend</w:t>
      </w:r>
      <w:proofErr w:type="gramEnd"/>
      <w:r w:rsidRPr="000F7115">
        <w:rPr>
          <w:color w:val="000000" w:themeColor="text1"/>
          <w:lang w:val="en-US"/>
        </w:rPr>
        <w:t xml:space="preserve"> through automated rate shopping and mode optimization</w:t>
      </w:r>
    </w:p>
    <w:p w14:paraId="697ADCC2" w14:textId="6F10964D" w:rsidR="00222B5F" w:rsidRPr="000F7115" w:rsidRDefault="00222B5F" w:rsidP="00222B5F">
      <w:pPr>
        <w:pStyle w:val="ListParagraph"/>
        <w:numPr>
          <w:ilvl w:val="1"/>
          <w:numId w:val="3"/>
        </w:numPr>
        <w:rPr>
          <w:color w:val="000000" w:themeColor="text1"/>
          <w:lang w:val="en-US"/>
        </w:rPr>
      </w:pPr>
      <w:r w:rsidRPr="000F7115">
        <w:rPr>
          <w:color w:val="000000" w:themeColor="text1"/>
          <w:lang w:val="en-US"/>
        </w:rPr>
        <w:t xml:space="preserve">Transition to a dedicated TMS support structure with defined roles and measurable SLAs quarter 1 after implementation </w:t>
      </w:r>
    </w:p>
    <w:p w14:paraId="3C58E2B3" w14:textId="05D6CEEE" w:rsidR="00222B5F" w:rsidRPr="000F7115" w:rsidRDefault="00222B5F" w:rsidP="00222B5F">
      <w:pPr>
        <w:pStyle w:val="ListParagraph"/>
        <w:numPr>
          <w:ilvl w:val="1"/>
          <w:numId w:val="3"/>
        </w:numPr>
        <w:rPr>
          <w:color w:val="000000" w:themeColor="text1"/>
          <w:lang w:val="en-US"/>
        </w:rPr>
      </w:pPr>
      <w:r w:rsidRPr="000F7115">
        <w:rPr>
          <w:color w:val="000000" w:themeColor="text1"/>
          <w:lang w:val="en-US"/>
        </w:rPr>
        <w:t>Decrease manual “process shadowing” tasks within the first 3 months</w:t>
      </w:r>
    </w:p>
    <w:p w14:paraId="482D7D6C" w14:textId="6044C2B2" w:rsidR="00222B5F" w:rsidRPr="000F7115" w:rsidRDefault="00222B5F" w:rsidP="00222B5F">
      <w:pPr>
        <w:pStyle w:val="ListParagraph"/>
        <w:numPr>
          <w:ilvl w:val="1"/>
          <w:numId w:val="3"/>
        </w:numPr>
        <w:rPr>
          <w:color w:val="000000" w:themeColor="text1"/>
          <w:lang w:val="en-US"/>
        </w:rPr>
      </w:pPr>
      <w:r w:rsidRPr="000F7115">
        <w:rPr>
          <w:color w:val="000000" w:themeColor="text1"/>
          <w:lang w:val="en-US"/>
        </w:rPr>
        <w:t xml:space="preserve">Deliver </w:t>
      </w:r>
      <w:r w:rsidR="00F41E88" w:rsidRPr="000F7115">
        <w:rPr>
          <w:color w:val="000000" w:themeColor="text1"/>
          <w:lang w:val="en-US"/>
        </w:rPr>
        <w:t>role-based</w:t>
      </w:r>
      <w:r w:rsidRPr="000F7115">
        <w:rPr>
          <w:color w:val="000000" w:themeColor="text1"/>
          <w:lang w:val="en-US"/>
        </w:rPr>
        <w:t xml:space="preserve"> dashboards and </w:t>
      </w:r>
      <w:proofErr w:type="gramStart"/>
      <w:r w:rsidRPr="000F7115">
        <w:rPr>
          <w:color w:val="000000" w:themeColor="text1"/>
          <w:lang w:val="en-US"/>
        </w:rPr>
        <w:t>reporting</w:t>
      </w:r>
      <w:proofErr w:type="gramEnd"/>
      <w:r w:rsidRPr="000F7115">
        <w:rPr>
          <w:color w:val="000000" w:themeColor="text1"/>
          <w:lang w:val="en-US"/>
        </w:rPr>
        <w:t xml:space="preserve"> access to 100% of Logistics and Finance stakeholders within the first </w:t>
      </w:r>
      <w:r w:rsidR="00B947AF">
        <w:rPr>
          <w:color w:val="000000" w:themeColor="text1"/>
          <w:lang w:val="en-US"/>
        </w:rPr>
        <w:t xml:space="preserve">6 months </w:t>
      </w:r>
    </w:p>
    <w:p w14:paraId="3A646813" w14:textId="77777777" w:rsidR="000F7115" w:rsidRPr="000F7115" w:rsidRDefault="0046703D" w:rsidP="00332C11">
      <w:pPr>
        <w:numPr>
          <w:ilvl w:val="0"/>
          <w:numId w:val="3"/>
        </w:numPr>
        <w:rPr>
          <w:lang w:val="en-US"/>
        </w:rPr>
      </w:pPr>
      <w:r w:rsidRPr="0046703D">
        <w:rPr>
          <w:b/>
          <w:bCs/>
          <w:lang w:val="en-US"/>
        </w:rPr>
        <w:t>ROI</w:t>
      </w:r>
    </w:p>
    <w:p w14:paraId="4A0DDE60" w14:textId="77777777" w:rsidR="000F7115" w:rsidRDefault="000F7115" w:rsidP="000F7115">
      <w:pPr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Formal review of vendor offerings and pricing will vary on complexity and need, however initial guidance from Gartner consultants indicate pricing can range from 100-300k per year. </w:t>
      </w:r>
    </w:p>
    <w:p w14:paraId="2C8EF86D" w14:textId="77777777" w:rsidR="00F41E88" w:rsidRDefault="00F41E88" w:rsidP="00F41E88">
      <w:pPr>
        <w:ind w:left="1440"/>
        <w:rPr>
          <w:lang w:val="en-US"/>
        </w:rPr>
      </w:pPr>
    </w:p>
    <w:p w14:paraId="2F7647DA" w14:textId="3ECB228E" w:rsidR="00E35B5D" w:rsidRDefault="00F41E88" w:rsidP="00815379">
      <w:pPr>
        <w:numPr>
          <w:ilvl w:val="1"/>
          <w:numId w:val="3"/>
        </w:numPr>
        <w:ind w:left="720"/>
        <w:rPr>
          <w:lang w:val="en-US"/>
        </w:rPr>
      </w:pPr>
      <w:r w:rsidRPr="00CB625E">
        <w:rPr>
          <w:lang w:val="en-US"/>
        </w:rPr>
        <w:lastRenderedPageBreak/>
        <w:t xml:space="preserve">Gartner research indicates opportunities for savings and improved productivity across various areas of </w:t>
      </w:r>
      <w:r w:rsidR="00E35B5D" w:rsidRPr="00CB625E">
        <w:rPr>
          <w:lang w:val="en-US"/>
        </w:rPr>
        <w:t>t</w:t>
      </w:r>
      <w:r w:rsidRPr="00CB625E">
        <w:rPr>
          <w:lang w:val="en-US"/>
        </w:rPr>
        <w:t>he business:</w:t>
      </w:r>
    </w:p>
    <w:p w14:paraId="2762E739" w14:textId="1988AFDB" w:rsidR="00F41E88" w:rsidRDefault="00CB625E" w:rsidP="00CB625E">
      <w:pPr>
        <w:pStyle w:val="ListParagraph"/>
        <w:rPr>
          <w:lang w:val="en-US"/>
        </w:rPr>
      </w:pPr>
      <w:proofErr w:type="spellStart"/>
      <w:r>
        <w:t>S</w:t>
      </w:r>
      <w:r w:rsidRPr="00E35B5D">
        <w:t>ource</w:t>
      </w:r>
      <w:proofErr w:type="spellEnd"/>
      <w:r w:rsidRPr="00E35B5D">
        <w:t>: Gartner (</w:t>
      </w:r>
      <w:proofErr w:type="spellStart"/>
      <w:r w:rsidRPr="00E35B5D">
        <w:t>November</w:t>
      </w:r>
      <w:proofErr w:type="spellEnd"/>
      <w:r w:rsidRPr="00E35B5D">
        <w:t xml:space="preserve"> 2021)</w:t>
      </w:r>
      <w:r w:rsidR="00F41E88" w:rsidRPr="00F41E88">
        <w:rPr>
          <w:noProof/>
          <w:lang w:val="en-US"/>
        </w:rPr>
        <w:drawing>
          <wp:inline distT="0" distB="0" distL="0" distR="0" wp14:anchorId="459EE609" wp14:editId="586F6FDB">
            <wp:extent cx="4533339" cy="2617325"/>
            <wp:effectExtent l="114300" t="114300" r="114935" b="145415"/>
            <wp:docPr id="5436135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13527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8045" cy="262581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E0C135F" w14:textId="4746B60A" w:rsidR="007254CF" w:rsidRDefault="00423E62" w:rsidP="00F41E88">
      <w:pPr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Our retail freight </w:t>
      </w:r>
      <w:proofErr w:type="gramStart"/>
      <w:r>
        <w:rPr>
          <w:lang w:val="en-US"/>
        </w:rPr>
        <w:t>spend</w:t>
      </w:r>
      <w:proofErr w:type="gramEnd"/>
      <w:r>
        <w:rPr>
          <w:lang w:val="en-US"/>
        </w:rPr>
        <w:t xml:space="preserve"> is +$10M a year and eCommerce parcel is +$150M a year. A </w:t>
      </w:r>
      <w:r w:rsidR="00F41E88">
        <w:rPr>
          <w:lang w:val="en-US"/>
        </w:rPr>
        <w:t xml:space="preserve">conservative approach looking at freight spend alone and </w:t>
      </w:r>
      <w:r w:rsidR="007254CF">
        <w:rPr>
          <w:lang w:val="en-US"/>
        </w:rPr>
        <w:t xml:space="preserve">improved automated carrier </w:t>
      </w:r>
      <w:r w:rsidR="00F41E88">
        <w:rPr>
          <w:lang w:val="en-US"/>
        </w:rPr>
        <w:t>optimization efforts that could yield 2% of annual savings</w:t>
      </w:r>
      <w:r w:rsidR="007254CF">
        <w:rPr>
          <w:lang w:val="en-US"/>
        </w:rPr>
        <w:t xml:space="preserve">, </w:t>
      </w:r>
      <w:r w:rsidR="00CB625E">
        <w:rPr>
          <w:lang w:val="en-US"/>
        </w:rPr>
        <w:t>would equate to</w:t>
      </w:r>
      <w:r w:rsidR="007254CF" w:rsidRPr="007254CF">
        <w:rPr>
          <w:b/>
          <w:bCs/>
          <w:lang w:val="en-US"/>
        </w:rPr>
        <w:t xml:space="preserve"> </w:t>
      </w:r>
      <w:r w:rsidR="00CB625E">
        <w:rPr>
          <w:b/>
          <w:bCs/>
          <w:lang w:val="en-US"/>
        </w:rPr>
        <w:t>~</w:t>
      </w:r>
      <w:r w:rsidR="007254CF" w:rsidRPr="007254CF">
        <w:rPr>
          <w:b/>
          <w:bCs/>
          <w:lang w:val="en-US"/>
        </w:rPr>
        <w:t xml:space="preserve">$3M USD </w:t>
      </w:r>
    </w:p>
    <w:p w14:paraId="59E38596" w14:textId="4BEB3746" w:rsidR="000F7115" w:rsidRPr="007254CF" w:rsidRDefault="007254CF" w:rsidP="00F41E88">
      <w:pPr>
        <w:numPr>
          <w:ilvl w:val="1"/>
          <w:numId w:val="3"/>
        </w:numPr>
        <w:rPr>
          <w:lang w:val="en-US"/>
        </w:rPr>
      </w:pPr>
      <w:r>
        <w:rPr>
          <w:lang w:val="en-US"/>
        </w:rPr>
        <w:t>Return on Investment would be immediate with the right vendor selection</w:t>
      </w:r>
      <w:r w:rsidR="0046703D" w:rsidRPr="007254CF">
        <w:rPr>
          <w:lang w:val="en-US"/>
        </w:rPr>
        <w:br/>
      </w:r>
    </w:p>
    <w:p w14:paraId="39051B3D" w14:textId="18D8540A" w:rsidR="00675CA6" w:rsidRPr="00675CA6" w:rsidRDefault="007254CF" w:rsidP="00332C11">
      <w:pPr>
        <w:numPr>
          <w:ilvl w:val="0"/>
          <w:numId w:val="3"/>
        </w:numPr>
        <w:rPr>
          <w:lang w:val="en-US"/>
        </w:rPr>
      </w:pPr>
      <w:r>
        <w:rPr>
          <w:b/>
          <w:bCs/>
          <w:lang w:val="en-US"/>
        </w:rPr>
        <w:t>R</w:t>
      </w:r>
      <w:r w:rsidR="0046703D" w:rsidRPr="0046703D">
        <w:rPr>
          <w:b/>
          <w:bCs/>
          <w:lang w:val="en-US"/>
        </w:rPr>
        <w:t>isk Mitigation &amp; Impact</w:t>
      </w:r>
    </w:p>
    <w:p w14:paraId="2400464D" w14:textId="52D55EC1" w:rsidR="00675CA6" w:rsidRDefault="00675CA6" w:rsidP="00675CA6">
      <w:pPr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Existing TMS contract expires in March of 2026. NA </w:t>
      </w:r>
      <w:r w:rsidR="005028AF">
        <w:rPr>
          <w:lang w:val="en-US"/>
        </w:rPr>
        <w:t>Logistics would</w:t>
      </w:r>
      <w:r>
        <w:rPr>
          <w:lang w:val="en-US"/>
        </w:rPr>
        <w:t xml:space="preserve"> like to </w:t>
      </w:r>
      <w:r w:rsidR="005028AF">
        <w:rPr>
          <w:lang w:val="en-US"/>
        </w:rPr>
        <w:t>have internal alignment on internal next steps to possibly limit the length and scope of the contract as necessary</w:t>
      </w:r>
    </w:p>
    <w:p w14:paraId="4567DF72" w14:textId="01BAFE6E" w:rsidR="0046703D" w:rsidRDefault="0046703D" w:rsidP="00332C11">
      <w:pPr>
        <w:numPr>
          <w:ilvl w:val="0"/>
          <w:numId w:val="3"/>
        </w:numPr>
        <w:rPr>
          <w:lang w:val="en-US"/>
        </w:rPr>
      </w:pPr>
      <w:r w:rsidRPr="0046703D">
        <w:rPr>
          <w:b/>
          <w:bCs/>
          <w:lang w:val="en-US"/>
        </w:rPr>
        <w:t>Impacted Functional Areas</w:t>
      </w:r>
    </w:p>
    <w:p w14:paraId="36E08627" w14:textId="02D16188" w:rsidR="005028AF" w:rsidRDefault="005028AF" w:rsidP="005028AF">
      <w:pPr>
        <w:numPr>
          <w:ilvl w:val="1"/>
          <w:numId w:val="3"/>
        </w:numPr>
        <w:rPr>
          <w:lang w:val="en-US"/>
        </w:rPr>
      </w:pPr>
      <w:r>
        <w:rPr>
          <w:lang w:val="en-US"/>
        </w:rPr>
        <w:t>Logistics, Distribution Center (Wave Planning, Shipping, Routing), eComm Fulfillment, Finance, Retail Ops</w:t>
      </w:r>
    </w:p>
    <w:p w14:paraId="3187C345" w14:textId="398004E5" w:rsidR="00CB625E" w:rsidRDefault="00477116" w:rsidP="00CB625E">
      <w:pPr>
        <w:numPr>
          <w:ilvl w:val="0"/>
          <w:numId w:val="3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Call to Action </w:t>
      </w:r>
    </w:p>
    <w:p w14:paraId="0B4D6BA2" w14:textId="77777777" w:rsidR="00CF37F0" w:rsidRDefault="00477116" w:rsidP="00F17125">
      <w:pPr>
        <w:numPr>
          <w:ilvl w:val="1"/>
          <w:numId w:val="3"/>
        </w:numPr>
        <w:rPr>
          <w:lang w:val="en-US"/>
        </w:rPr>
      </w:pPr>
      <w:r w:rsidRPr="00CF37F0">
        <w:rPr>
          <w:lang w:val="en-US"/>
        </w:rPr>
        <w:t>With an annual transportation spend exceeding $150M, a focused investment of less than 0.2% could unlock meaningful savings while advancing a more omnichannel, data</w:t>
      </w:r>
      <w:r w:rsidR="00CF37F0" w:rsidRPr="00CF37F0">
        <w:rPr>
          <w:lang w:val="en-US"/>
        </w:rPr>
        <w:t xml:space="preserve"> </w:t>
      </w:r>
      <w:r w:rsidRPr="00CF37F0">
        <w:rPr>
          <w:lang w:val="en-US"/>
        </w:rPr>
        <w:t>driven shipping strategy that improves consistency and visibility across stakeholders</w:t>
      </w:r>
    </w:p>
    <w:p w14:paraId="14FF48B7" w14:textId="1DB83B2D" w:rsidR="00477116" w:rsidRPr="00CF37F0" w:rsidRDefault="00477116" w:rsidP="00F17125">
      <w:pPr>
        <w:numPr>
          <w:ilvl w:val="1"/>
          <w:numId w:val="3"/>
        </w:numPr>
        <w:rPr>
          <w:lang w:val="en-US"/>
        </w:rPr>
      </w:pPr>
      <w:r w:rsidRPr="00CF37F0">
        <w:rPr>
          <w:lang w:val="en-US"/>
        </w:rPr>
        <w:lastRenderedPageBreak/>
        <w:t>We request Digital and Data’s partnership to initiate this review</w:t>
      </w:r>
      <w:r w:rsidR="00CF37F0">
        <w:rPr>
          <w:lang w:val="en-US"/>
        </w:rPr>
        <w:t xml:space="preserve">, </w:t>
      </w:r>
      <w:r w:rsidRPr="00CF37F0">
        <w:rPr>
          <w:lang w:val="en-US"/>
        </w:rPr>
        <w:t>beginning with vendor exploration, assessment of benefits across regions, and definition of a preliminary execution timeline</w:t>
      </w:r>
    </w:p>
    <w:p w14:paraId="5029DAE7" w14:textId="088D5BDC" w:rsidR="00477116" w:rsidRPr="00477116" w:rsidRDefault="00477116" w:rsidP="00477116">
      <w:pPr>
        <w:numPr>
          <w:ilvl w:val="1"/>
          <w:numId w:val="3"/>
        </w:numPr>
        <w:rPr>
          <w:lang w:val="en-US"/>
        </w:rPr>
      </w:pPr>
      <w:r w:rsidRPr="00477116">
        <w:rPr>
          <w:lang w:val="en-US"/>
        </w:rPr>
        <w:t>As our TMS contract expires in under six months, timely alignment on renewal strategy and evaluation of alternative partners will be critical to capture these opportunities</w:t>
      </w:r>
    </w:p>
    <w:p w14:paraId="3CF3E477" w14:textId="77777777" w:rsidR="0046703D" w:rsidRDefault="00E27D2B" w:rsidP="0046703D">
      <w:r>
        <w:pict w14:anchorId="092A64FC">
          <v:rect id="_x0000_i1025" style="width:0;height:1.5pt" o:hralign="center" o:hrstd="t" o:hr="t" fillcolor="#a0a0a0" stroked="f"/>
        </w:pict>
      </w:r>
    </w:p>
    <w:p w14:paraId="5532827F" w14:textId="77777777" w:rsidR="002C027D" w:rsidRDefault="002C027D">
      <w:pPr>
        <w:rPr>
          <w:lang w:val="en-US"/>
        </w:rPr>
      </w:pPr>
    </w:p>
    <w:sectPr w:rsidR="002C027D" w:rsidSect="00146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73A0"/>
    <w:multiLevelType w:val="hybridMultilevel"/>
    <w:tmpl w:val="066A4A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4B3B4C"/>
    <w:multiLevelType w:val="hybridMultilevel"/>
    <w:tmpl w:val="698E0D4A"/>
    <w:lvl w:ilvl="0" w:tplc="D486CCEE">
      <w:numFmt w:val="bullet"/>
      <w:lvlText w:val="-"/>
      <w:lvlJc w:val="left"/>
      <w:pPr>
        <w:ind w:left="410" w:hanging="360"/>
      </w:pPr>
      <w:rPr>
        <w:rFonts w:ascii="Calibri" w:eastAsia="Aptos" w:hAnsi="Calibri" w:cs="Calibri" w:hint="default"/>
      </w:rPr>
    </w:lvl>
    <w:lvl w:ilvl="1" w:tplc="140A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277A3C5F"/>
    <w:multiLevelType w:val="hybridMultilevel"/>
    <w:tmpl w:val="A9E2C1B8"/>
    <w:lvl w:ilvl="0" w:tplc="666CA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2FA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CA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64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D6A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E05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569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948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EC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CE65AAE"/>
    <w:multiLevelType w:val="multilevel"/>
    <w:tmpl w:val="10E4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DF199D"/>
    <w:multiLevelType w:val="multilevel"/>
    <w:tmpl w:val="AFC2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0626DA"/>
    <w:multiLevelType w:val="multilevel"/>
    <w:tmpl w:val="7FD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A16CB0"/>
    <w:multiLevelType w:val="multilevel"/>
    <w:tmpl w:val="9728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E78DD"/>
    <w:multiLevelType w:val="multilevel"/>
    <w:tmpl w:val="10C8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066743">
    <w:abstractNumId w:val="1"/>
  </w:num>
  <w:num w:numId="2" w16cid:durableId="1717923847">
    <w:abstractNumId w:val="3"/>
  </w:num>
  <w:num w:numId="3" w16cid:durableId="2119059918">
    <w:abstractNumId w:val="6"/>
  </w:num>
  <w:num w:numId="4" w16cid:durableId="2122020428">
    <w:abstractNumId w:val="4"/>
  </w:num>
  <w:num w:numId="5" w16cid:durableId="1983651751">
    <w:abstractNumId w:val="1"/>
  </w:num>
  <w:num w:numId="6" w16cid:durableId="1441415440">
    <w:abstractNumId w:val="5"/>
  </w:num>
  <w:num w:numId="7" w16cid:durableId="432558052">
    <w:abstractNumId w:val="0"/>
  </w:num>
  <w:num w:numId="8" w16cid:durableId="477500941">
    <w:abstractNumId w:val="7"/>
  </w:num>
  <w:num w:numId="9" w16cid:durableId="1806658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3D"/>
    <w:rsid w:val="00052BA2"/>
    <w:rsid w:val="000F7115"/>
    <w:rsid w:val="001469DB"/>
    <w:rsid w:val="00165ED0"/>
    <w:rsid w:val="001F2314"/>
    <w:rsid w:val="00222B5F"/>
    <w:rsid w:val="00263EA5"/>
    <w:rsid w:val="002A2195"/>
    <w:rsid w:val="002C027D"/>
    <w:rsid w:val="00332C11"/>
    <w:rsid w:val="00423E62"/>
    <w:rsid w:val="0046703D"/>
    <w:rsid w:val="00477116"/>
    <w:rsid w:val="0048443E"/>
    <w:rsid w:val="00501C1B"/>
    <w:rsid w:val="005028AF"/>
    <w:rsid w:val="00586E84"/>
    <w:rsid w:val="00675CA6"/>
    <w:rsid w:val="006B7663"/>
    <w:rsid w:val="007254CF"/>
    <w:rsid w:val="00784D3A"/>
    <w:rsid w:val="00810919"/>
    <w:rsid w:val="00852DAA"/>
    <w:rsid w:val="00901B55"/>
    <w:rsid w:val="00946148"/>
    <w:rsid w:val="009A3F45"/>
    <w:rsid w:val="00A86A0A"/>
    <w:rsid w:val="00B06194"/>
    <w:rsid w:val="00B947AF"/>
    <w:rsid w:val="00BB2046"/>
    <w:rsid w:val="00C02108"/>
    <w:rsid w:val="00C85C19"/>
    <w:rsid w:val="00CB625E"/>
    <w:rsid w:val="00CD0D91"/>
    <w:rsid w:val="00CF37F0"/>
    <w:rsid w:val="00DD1A81"/>
    <w:rsid w:val="00E16716"/>
    <w:rsid w:val="00E27D2B"/>
    <w:rsid w:val="00E35B5D"/>
    <w:rsid w:val="00F41E88"/>
    <w:rsid w:val="00F50581"/>
    <w:rsid w:val="00FC6078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EAE839"/>
  <w15:chartTrackingRefBased/>
  <w15:docId w15:val="{F7060040-0EFE-40B3-8707-C646A1D0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0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619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02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2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027D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771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0366">
          <w:marLeft w:val="86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562">
          <w:marLeft w:val="86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861">
          <w:marLeft w:val="86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537</Words>
  <Characters>3089</Characters>
  <Application>Microsoft Office Word</Application>
  <DocSecurity>0</DocSecurity>
  <Lines>69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Deckers Outdoor Corporation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Gutierrez</dc:creator>
  <cp:keywords/>
  <dc:description/>
  <cp:lastModifiedBy>Fiorella Gutierrez</cp:lastModifiedBy>
  <cp:revision>3</cp:revision>
  <dcterms:created xsi:type="dcterms:W3CDTF">2025-10-29T12:21:00Z</dcterms:created>
  <dcterms:modified xsi:type="dcterms:W3CDTF">2025-10-30T12:51:00Z</dcterms:modified>
</cp:coreProperties>
</file>